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BF2419">
      <w:pPr>
        <w:overflowPunct w:val="0"/>
        <w:adjustRightInd w:val="0"/>
        <w:snapToGrid w:val="0"/>
        <w:spacing w:line="560" w:lineRule="exact"/>
        <w:rPr>
          <w:rFonts w:hint="eastAsia" w:ascii="黑体" w:hAnsi="黑体" w:eastAsia="黑体"/>
          <w:sz w:val="30"/>
          <w:szCs w:val="30"/>
        </w:rPr>
      </w:pPr>
      <w:r>
        <w:rPr>
          <w:rFonts w:ascii="黑体" w:hAnsi="黑体" w:eastAsia="黑体"/>
          <w:sz w:val="30"/>
          <w:szCs w:val="30"/>
        </w:rPr>
        <w:t>附件</w:t>
      </w:r>
      <w:r>
        <w:rPr>
          <w:rFonts w:hint="eastAsia" w:ascii="黑体" w:hAnsi="黑体" w:eastAsia="黑体"/>
          <w:sz w:val="30"/>
          <w:szCs w:val="30"/>
        </w:rPr>
        <w:t>1</w:t>
      </w:r>
    </w:p>
    <w:p w14:paraId="2994B44D">
      <w:pPr>
        <w:overflowPunct w:val="0"/>
        <w:adjustRightInd w:val="0"/>
        <w:snapToGrid w:val="0"/>
        <w:spacing w:before="312" w:beforeLines="100" w:after="312" w:afterLines="100" w:line="560" w:lineRule="exact"/>
        <w:jc w:val="center"/>
        <w:rPr>
          <w:rFonts w:hint="eastAsia" w:ascii="华文中宋" w:hAnsi="华文中宋" w:eastAsia="华文中宋"/>
          <w:bCs/>
          <w:sz w:val="44"/>
          <w:szCs w:val="44"/>
        </w:rPr>
      </w:pPr>
      <w:r>
        <w:rPr>
          <w:rFonts w:ascii="华文中宋" w:hAnsi="华文中宋" w:eastAsia="华文中宋"/>
          <w:bCs/>
          <w:sz w:val="44"/>
          <w:szCs w:val="44"/>
        </w:rPr>
        <w:t>阳光宣言</w:t>
      </w:r>
    </w:p>
    <w:p w14:paraId="15274C5A">
      <w:pPr>
        <w:overflowPunct w:val="0"/>
        <w:adjustRightInd w:val="0"/>
        <w:snapToGrid w:val="0"/>
        <w:spacing w:line="560" w:lineRule="exact"/>
        <w:ind w:firstLine="640" w:firstLineChars="200"/>
        <w:rPr>
          <w:rFonts w:hint="eastAsia" w:ascii="仿宋" w:hAnsi="仿宋" w:eastAsia="仿宋"/>
          <w:sz w:val="32"/>
          <w:szCs w:val="32"/>
        </w:rPr>
      </w:pPr>
      <w:r>
        <w:rPr>
          <w:rFonts w:hint="eastAsia" w:ascii="仿宋" w:hAnsi="仿宋" w:eastAsia="仿宋"/>
          <w:sz w:val="32"/>
          <w:szCs w:val="32"/>
        </w:rPr>
        <w:t>一、</w:t>
      </w:r>
      <w:r>
        <w:rPr>
          <w:rFonts w:ascii="仿宋" w:hAnsi="仿宋" w:eastAsia="仿宋"/>
          <w:sz w:val="32"/>
          <w:szCs w:val="32"/>
        </w:rPr>
        <w:t>不以向</w:t>
      </w:r>
      <w:r>
        <w:rPr>
          <w:rFonts w:hint="eastAsia" w:ascii="仿宋" w:hAnsi="仿宋" w:eastAsia="仿宋"/>
          <w:sz w:val="32"/>
          <w:szCs w:val="32"/>
        </w:rPr>
        <w:t>北京中关村国际会展运营管理有限公司（以下简称</w:t>
      </w:r>
      <w:r>
        <w:rPr>
          <w:rFonts w:ascii="仿宋" w:hAnsi="仿宋" w:eastAsia="仿宋"/>
          <w:sz w:val="32"/>
          <w:szCs w:val="32"/>
        </w:rPr>
        <w:t>中关村国际会展公司</w:t>
      </w:r>
      <w:r>
        <w:rPr>
          <w:rFonts w:hint="eastAsia" w:ascii="仿宋" w:hAnsi="仿宋" w:eastAsia="仿宋"/>
          <w:sz w:val="32"/>
          <w:szCs w:val="32"/>
        </w:rPr>
        <w:t>）</w:t>
      </w:r>
      <w:r>
        <w:rPr>
          <w:rFonts w:ascii="仿宋" w:hAnsi="仿宋" w:eastAsia="仿宋"/>
          <w:sz w:val="32"/>
          <w:szCs w:val="32"/>
        </w:rPr>
        <w:t>员工及其亲属提供任何个人利益的方式谋求与中关村国际会展公司的合作关系。</w:t>
      </w:r>
    </w:p>
    <w:p w14:paraId="56C18DA7">
      <w:pPr>
        <w:overflowPunct w:val="0"/>
        <w:adjustRightInd w:val="0"/>
        <w:snapToGrid w:val="0"/>
        <w:spacing w:line="560" w:lineRule="exact"/>
        <w:ind w:firstLine="640" w:firstLineChars="200"/>
        <w:rPr>
          <w:rFonts w:hint="eastAsia" w:ascii="仿宋" w:hAnsi="仿宋" w:eastAsia="仿宋"/>
          <w:sz w:val="32"/>
          <w:szCs w:val="32"/>
        </w:rPr>
      </w:pPr>
      <w:r>
        <w:rPr>
          <w:rFonts w:ascii="仿宋" w:hAnsi="仿宋" w:eastAsia="仿宋"/>
          <w:sz w:val="32"/>
          <w:szCs w:val="32"/>
        </w:rPr>
        <w:t>二、不与中关村国际会展公司员工就标底、其他单位的投标书等商业秘密及合同中的条款进行私下商谈或者达成默契。</w:t>
      </w:r>
    </w:p>
    <w:p w14:paraId="3D2AEBF2">
      <w:pPr>
        <w:overflowPunct w:val="0"/>
        <w:adjustRightInd w:val="0"/>
        <w:snapToGrid w:val="0"/>
        <w:spacing w:line="560" w:lineRule="exact"/>
        <w:ind w:firstLine="640" w:firstLineChars="200"/>
        <w:rPr>
          <w:rFonts w:hint="eastAsia" w:ascii="仿宋" w:hAnsi="仿宋" w:eastAsia="仿宋"/>
          <w:sz w:val="32"/>
          <w:szCs w:val="32"/>
        </w:rPr>
      </w:pPr>
      <w:r>
        <w:rPr>
          <w:rFonts w:ascii="仿宋" w:hAnsi="仿宋" w:eastAsia="仿宋"/>
          <w:sz w:val="32"/>
          <w:szCs w:val="32"/>
        </w:rPr>
        <w:t>三、不与其他单位串通投标，不采取恶性竞争等不正当手段竞争业务</w:t>
      </w:r>
      <w:r>
        <w:rPr>
          <w:rFonts w:hint="eastAsia" w:ascii="仿宋" w:hAnsi="仿宋" w:eastAsia="仿宋"/>
          <w:sz w:val="32"/>
          <w:szCs w:val="32"/>
        </w:rPr>
        <w:t>。</w:t>
      </w:r>
    </w:p>
    <w:p w14:paraId="71247E01">
      <w:pPr>
        <w:overflowPunct w:val="0"/>
        <w:adjustRightInd w:val="0"/>
        <w:snapToGrid w:val="0"/>
        <w:spacing w:line="560" w:lineRule="exact"/>
        <w:ind w:firstLine="640" w:firstLineChars="200"/>
        <w:rPr>
          <w:rFonts w:hint="eastAsia" w:ascii="仿宋" w:hAnsi="仿宋" w:eastAsia="仿宋"/>
          <w:sz w:val="32"/>
          <w:szCs w:val="32"/>
        </w:rPr>
      </w:pPr>
      <w:r>
        <w:rPr>
          <w:rFonts w:ascii="仿宋" w:hAnsi="仿宋" w:eastAsia="仿宋"/>
          <w:sz w:val="32"/>
          <w:szCs w:val="32"/>
        </w:rPr>
        <w:t>四、不向中关村国际会展公司员工或其请托人、代理人提供好处费、回扣、现金及有价证券、支付凭证、贵重礼物。不向中关村国际会展公司员工及其亲属提供可能影响其公正履行职务行为的宴请和娱乐、体育、休闲、旅游活动。</w:t>
      </w:r>
    </w:p>
    <w:p w14:paraId="6C0DD957">
      <w:pPr>
        <w:overflowPunct w:val="0"/>
        <w:adjustRightInd w:val="0"/>
        <w:snapToGrid w:val="0"/>
        <w:spacing w:line="560" w:lineRule="exact"/>
        <w:ind w:firstLine="640" w:firstLineChars="200"/>
        <w:rPr>
          <w:rFonts w:hint="eastAsia" w:ascii="仿宋" w:hAnsi="仿宋" w:eastAsia="仿宋"/>
          <w:sz w:val="32"/>
          <w:szCs w:val="32"/>
        </w:rPr>
      </w:pPr>
      <w:r>
        <w:rPr>
          <w:rFonts w:ascii="仿宋" w:hAnsi="仿宋" w:eastAsia="仿宋"/>
          <w:sz w:val="32"/>
          <w:szCs w:val="32"/>
        </w:rPr>
        <w:t>五、发现本单位人员有向中关村国际会展公司员工行贿倾向、建议或行为的，应予以制止、批评教育；发现中关村国际会展公司员工有索贿、受贿行为的，应坚决拒绝，并向中关村国际会展公司</w:t>
      </w:r>
      <w:r>
        <w:rPr>
          <w:rFonts w:hint="eastAsia" w:ascii="仿宋" w:hAnsi="仿宋" w:eastAsia="仿宋"/>
          <w:sz w:val="32"/>
          <w:szCs w:val="32"/>
        </w:rPr>
        <w:t>综合管理部</w:t>
      </w:r>
      <w:r>
        <w:rPr>
          <w:rFonts w:ascii="仿宋" w:hAnsi="仿宋" w:eastAsia="仿宋"/>
          <w:sz w:val="32"/>
          <w:szCs w:val="32"/>
        </w:rPr>
        <w:t>举报。</w:t>
      </w:r>
    </w:p>
    <w:p w14:paraId="7FBFDF80">
      <w:pPr>
        <w:overflowPunct w:val="0"/>
        <w:adjustRightInd w:val="0"/>
        <w:snapToGrid w:val="0"/>
        <w:spacing w:line="560" w:lineRule="exact"/>
        <w:ind w:firstLine="640" w:firstLineChars="200"/>
        <w:rPr>
          <w:rFonts w:hint="eastAsia" w:ascii="仿宋" w:hAnsi="仿宋" w:eastAsia="仿宋"/>
          <w:sz w:val="32"/>
          <w:szCs w:val="32"/>
        </w:rPr>
      </w:pPr>
    </w:p>
    <w:p w14:paraId="559FD96A">
      <w:pPr>
        <w:overflowPunct w:val="0"/>
        <w:adjustRightInd w:val="0"/>
        <w:snapToGrid w:val="0"/>
        <w:spacing w:line="560" w:lineRule="exact"/>
        <w:ind w:firstLine="640" w:firstLineChars="200"/>
        <w:rPr>
          <w:rFonts w:hint="eastAsia" w:ascii="仿宋" w:hAnsi="仿宋" w:eastAsia="仿宋"/>
          <w:sz w:val="32"/>
          <w:szCs w:val="32"/>
        </w:rPr>
      </w:pPr>
    </w:p>
    <w:p w14:paraId="48F61147">
      <w:pPr>
        <w:overflowPunct w:val="0"/>
        <w:adjustRightInd w:val="0"/>
        <w:snapToGrid w:val="0"/>
        <w:spacing w:line="560" w:lineRule="exact"/>
        <w:ind w:firstLine="640" w:firstLineChars="200"/>
        <w:rPr>
          <w:rFonts w:hint="eastAsia" w:ascii="仿宋" w:hAnsi="仿宋" w:eastAsia="仿宋"/>
          <w:sz w:val="32"/>
          <w:szCs w:val="32"/>
        </w:rPr>
      </w:pPr>
      <w:r>
        <w:rPr>
          <w:rFonts w:hint="eastAsia" w:ascii="仿宋" w:hAnsi="仿宋" w:eastAsia="仿宋"/>
          <w:sz w:val="32"/>
          <w:szCs w:val="32"/>
        </w:rPr>
        <w:t xml:space="preserve"> </w:t>
      </w:r>
      <w:r>
        <w:rPr>
          <w:rFonts w:ascii="仿宋" w:hAnsi="仿宋" w:eastAsia="仿宋"/>
          <w:sz w:val="32"/>
          <w:szCs w:val="32"/>
        </w:rPr>
        <w:t xml:space="preserve">                         </w:t>
      </w:r>
      <w:r>
        <w:rPr>
          <w:rFonts w:hint="eastAsia" w:ascii="仿宋" w:hAnsi="仿宋" w:eastAsia="仿宋"/>
          <w:sz w:val="32"/>
          <w:szCs w:val="32"/>
        </w:rPr>
        <w:t xml:space="preserve">       XXXXXXXXX公司</w:t>
      </w:r>
    </w:p>
    <w:p w14:paraId="5AE8B35D">
      <w:pPr>
        <w:overflowPunct w:val="0"/>
        <w:adjustRightInd w:val="0"/>
        <w:snapToGrid w:val="0"/>
        <w:spacing w:line="560" w:lineRule="exact"/>
        <w:ind w:firstLine="640" w:firstLineChars="200"/>
        <w:rPr>
          <w:rFonts w:hint="eastAsia" w:ascii="仿宋" w:hAnsi="仿宋" w:eastAsia="仿宋"/>
          <w:sz w:val="32"/>
          <w:szCs w:val="32"/>
        </w:rPr>
      </w:pPr>
      <w:r>
        <w:rPr>
          <w:rFonts w:hint="eastAsia" w:ascii="仿宋" w:hAnsi="仿宋" w:eastAsia="仿宋"/>
          <w:sz w:val="32"/>
          <w:szCs w:val="32"/>
        </w:rPr>
        <w:t xml:space="preserve"> </w:t>
      </w:r>
      <w:r>
        <w:rPr>
          <w:rFonts w:ascii="仿宋" w:hAnsi="仿宋" w:eastAsia="仿宋"/>
          <w:sz w:val="32"/>
          <w:szCs w:val="32"/>
        </w:rPr>
        <w:t xml:space="preserve">                         </w:t>
      </w:r>
      <w:r>
        <w:rPr>
          <w:rFonts w:hint="eastAsia" w:ascii="仿宋" w:hAnsi="仿宋" w:eastAsia="仿宋"/>
          <w:sz w:val="32"/>
          <w:szCs w:val="32"/>
        </w:rPr>
        <w:t xml:space="preserve">       2025年  月  日</w:t>
      </w:r>
    </w:p>
    <w:p w14:paraId="05C2C16E">
      <w:pPr>
        <w:rPr>
          <w:rFonts w:hint="eastAsia"/>
        </w:rPr>
      </w:pPr>
    </w:p>
    <w:p w14:paraId="7C0D34B7">
      <w:pPr>
        <w:rPr>
          <w:rFonts w:hint="eastAsia"/>
        </w:rPr>
      </w:pPr>
    </w:p>
    <w:p w14:paraId="676E8A43">
      <w:pPr>
        <w:rPr>
          <w:rFonts w:hint="eastAsia"/>
        </w:rPr>
      </w:pPr>
    </w:p>
    <w:p w14:paraId="3E800A5B">
      <w:pPr>
        <w:overflowPunct w:val="0"/>
        <w:adjustRightInd w:val="0"/>
        <w:snapToGrid w:val="0"/>
        <w:spacing w:line="560" w:lineRule="exact"/>
        <w:rPr>
          <w:rFonts w:hint="eastAsia" w:ascii="黑体" w:hAnsi="黑体" w:eastAsia="黑体"/>
          <w:sz w:val="30"/>
          <w:szCs w:val="30"/>
        </w:rPr>
      </w:pPr>
      <w:bookmarkStart w:id="0" w:name="_GoBack"/>
      <w:bookmarkEnd w:id="0"/>
      <w:r>
        <w:rPr>
          <w:rFonts w:ascii="黑体" w:hAnsi="黑体" w:eastAsia="黑体"/>
          <w:sz w:val="30"/>
          <w:szCs w:val="30"/>
        </w:rPr>
        <w:t>附件</w:t>
      </w:r>
      <w:r>
        <w:rPr>
          <w:rFonts w:hint="eastAsia" w:ascii="黑体" w:hAnsi="黑体" w:eastAsia="黑体"/>
          <w:sz w:val="30"/>
          <w:szCs w:val="30"/>
        </w:rPr>
        <w:t>2</w:t>
      </w:r>
    </w:p>
    <w:p w14:paraId="568F83B8">
      <w:pPr>
        <w:overflowPunct w:val="0"/>
        <w:adjustRightInd w:val="0"/>
        <w:snapToGrid w:val="0"/>
        <w:spacing w:line="560" w:lineRule="exact"/>
        <w:jc w:val="center"/>
        <w:rPr>
          <w:rFonts w:hint="eastAsia" w:ascii="方正小标宋简体" w:hAnsi="仿宋" w:eastAsia="方正小标宋简体"/>
          <w:sz w:val="44"/>
          <w:szCs w:val="44"/>
        </w:rPr>
      </w:pPr>
      <w:r>
        <w:rPr>
          <w:rFonts w:hint="eastAsia" w:ascii="方正小标宋简体" w:hAnsi="仿宋" w:eastAsia="方正小标宋简体"/>
          <w:sz w:val="44"/>
          <w:szCs w:val="44"/>
        </w:rPr>
        <w:t>供应商信息表</w:t>
      </w:r>
    </w:p>
    <w:tbl>
      <w:tblPr>
        <w:tblStyle w:val="15"/>
        <w:tblW w:w="8789"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2"/>
        <w:gridCol w:w="872"/>
        <w:gridCol w:w="2001"/>
        <w:gridCol w:w="2317"/>
        <w:gridCol w:w="1897"/>
      </w:tblGrid>
      <w:tr w14:paraId="4DD67E0E">
        <w:tc>
          <w:tcPr>
            <w:tcW w:w="2574" w:type="dxa"/>
            <w:gridSpan w:val="2"/>
          </w:tcPr>
          <w:p w14:paraId="0CFD0909">
            <w:pPr>
              <w:overflowPunct w:val="0"/>
              <w:adjustRightInd w:val="0"/>
              <w:snapToGrid w:val="0"/>
              <w:spacing w:line="560" w:lineRule="exact"/>
              <w:rPr>
                <w:rFonts w:hint="eastAsia" w:ascii="仿宋_GB2312" w:hAnsi="仿宋" w:eastAsia="仿宋_GB2312"/>
                <w:sz w:val="28"/>
                <w:szCs w:val="28"/>
              </w:rPr>
            </w:pPr>
            <w:r>
              <w:rPr>
                <w:rFonts w:hint="eastAsia" w:ascii="仿宋_GB2312" w:hAnsi="仿宋" w:eastAsia="仿宋_GB2312"/>
                <w:sz w:val="28"/>
                <w:szCs w:val="28"/>
              </w:rPr>
              <w:t>单位名称</w:t>
            </w:r>
          </w:p>
        </w:tc>
        <w:tc>
          <w:tcPr>
            <w:tcW w:w="6215" w:type="dxa"/>
            <w:gridSpan w:val="3"/>
          </w:tcPr>
          <w:p w14:paraId="30A5A808">
            <w:pPr>
              <w:overflowPunct w:val="0"/>
              <w:adjustRightInd w:val="0"/>
              <w:snapToGrid w:val="0"/>
              <w:spacing w:line="560" w:lineRule="exact"/>
              <w:rPr>
                <w:rFonts w:hint="eastAsia" w:ascii="仿宋_GB2312" w:hAnsi="仿宋" w:eastAsia="仿宋_GB2312"/>
                <w:sz w:val="28"/>
                <w:szCs w:val="28"/>
              </w:rPr>
            </w:pPr>
          </w:p>
        </w:tc>
      </w:tr>
      <w:tr w14:paraId="473964C1">
        <w:tc>
          <w:tcPr>
            <w:tcW w:w="2574" w:type="dxa"/>
            <w:gridSpan w:val="2"/>
          </w:tcPr>
          <w:p w14:paraId="3AF3ADC6">
            <w:pPr>
              <w:overflowPunct w:val="0"/>
              <w:adjustRightInd w:val="0"/>
              <w:snapToGrid w:val="0"/>
              <w:spacing w:line="560" w:lineRule="exact"/>
              <w:rPr>
                <w:rFonts w:hint="eastAsia" w:ascii="仿宋_GB2312" w:hAnsi="仿宋" w:eastAsia="仿宋_GB2312"/>
                <w:sz w:val="28"/>
                <w:szCs w:val="28"/>
              </w:rPr>
            </w:pPr>
            <w:r>
              <w:rPr>
                <w:rFonts w:hint="eastAsia" w:ascii="仿宋_GB2312" w:hAnsi="仿宋" w:eastAsia="仿宋_GB2312"/>
                <w:sz w:val="28"/>
                <w:szCs w:val="28"/>
              </w:rPr>
              <w:t>企业社会信用代码</w:t>
            </w:r>
          </w:p>
        </w:tc>
        <w:tc>
          <w:tcPr>
            <w:tcW w:w="6215" w:type="dxa"/>
            <w:gridSpan w:val="3"/>
          </w:tcPr>
          <w:p w14:paraId="21351AAE">
            <w:pPr>
              <w:overflowPunct w:val="0"/>
              <w:adjustRightInd w:val="0"/>
              <w:snapToGrid w:val="0"/>
              <w:spacing w:line="560" w:lineRule="exact"/>
              <w:rPr>
                <w:rFonts w:hint="eastAsia" w:ascii="仿宋_GB2312" w:hAnsi="仿宋" w:eastAsia="仿宋_GB2312"/>
                <w:sz w:val="32"/>
                <w:szCs w:val="32"/>
              </w:rPr>
            </w:pPr>
          </w:p>
        </w:tc>
      </w:tr>
      <w:tr w14:paraId="238E8EBE">
        <w:tc>
          <w:tcPr>
            <w:tcW w:w="2574" w:type="dxa"/>
            <w:gridSpan w:val="2"/>
          </w:tcPr>
          <w:p w14:paraId="3005D3FF">
            <w:pPr>
              <w:overflowPunct w:val="0"/>
              <w:adjustRightInd w:val="0"/>
              <w:snapToGrid w:val="0"/>
              <w:spacing w:line="560" w:lineRule="exact"/>
              <w:rPr>
                <w:rFonts w:hint="eastAsia" w:ascii="仿宋_GB2312" w:hAnsi="仿宋" w:eastAsia="仿宋_GB2312"/>
                <w:sz w:val="28"/>
                <w:szCs w:val="28"/>
              </w:rPr>
            </w:pPr>
            <w:r>
              <w:rPr>
                <w:rFonts w:hint="eastAsia" w:ascii="仿宋_GB2312" w:hAnsi="仿宋" w:eastAsia="仿宋_GB2312"/>
                <w:sz w:val="28"/>
                <w:szCs w:val="28"/>
              </w:rPr>
              <w:t>实缴注册资本</w:t>
            </w:r>
          </w:p>
        </w:tc>
        <w:tc>
          <w:tcPr>
            <w:tcW w:w="2001" w:type="dxa"/>
          </w:tcPr>
          <w:p w14:paraId="49772A1F">
            <w:pPr>
              <w:overflowPunct w:val="0"/>
              <w:adjustRightInd w:val="0"/>
              <w:snapToGrid w:val="0"/>
              <w:spacing w:line="560" w:lineRule="exact"/>
              <w:rPr>
                <w:rFonts w:hint="eastAsia" w:ascii="仿宋_GB2312" w:hAnsi="仿宋" w:eastAsia="仿宋_GB2312"/>
                <w:sz w:val="32"/>
                <w:szCs w:val="32"/>
              </w:rPr>
            </w:pPr>
          </w:p>
        </w:tc>
        <w:tc>
          <w:tcPr>
            <w:tcW w:w="2317" w:type="dxa"/>
          </w:tcPr>
          <w:p w14:paraId="5D222DD4">
            <w:pPr>
              <w:overflowPunct w:val="0"/>
              <w:adjustRightInd w:val="0"/>
              <w:snapToGrid w:val="0"/>
              <w:spacing w:line="560" w:lineRule="exact"/>
              <w:rPr>
                <w:rFonts w:hint="eastAsia" w:ascii="仿宋_GB2312" w:hAnsi="仿宋" w:eastAsia="仿宋_GB2312"/>
                <w:sz w:val="32"/>
                <w:szCs w:val="32"/>
              </w:rPr>
            </w:pPr>
            <w:r>
              <w:rPr>
                <w:rFonts w:hint="eastAsia" w:ascii="仿宋_GB2312" w:hAnsi="仿宋" w:eastAsia="仿宋_GB2312"/>
                <w:sz w:val="28"/>
                <w:szCs w:val="28"/>
              </w:rPr>
              <w:t>最近一年营业收入</w:t>
            </w:r>
          </w:p>
        </w:tc>
        <w:tc>
          <w:tcPr>
            <w:tcW w:w="1897" w:type="dxa"/>
          </w:tcPr>
          <w:p w14:paraId="0632FE95">
            <w:pPr>
              <w:overflowPunct w:val="0"/>
              <w:adjustRightInd w:val="0"/>
              <w:snapToGrid w:val="0"/>
              <w:spacing w:line="560" w:lineRule="exact"/>
              <w:rPr>
                <w:rFonts w:hint="eastAsia" w:ascii="仿宋_GB2312" w:hAnsi="仿宋" w:eastAsia="仿宋_GB2312"/>
                <w:sz w:val="32"/>
                <w:szCs w:val="32"/>
              </w:rPr>
            </w:pPr>
          </w:p>
        </w:tc>
      </w:tr>
      <w:tr w14:paraId="083771C1">
        <w:tc>
          <w:tcPr>
            <w:tcW w:w="2574" w:type="dxa"/>
            <w:gridSpan w:val="2"/>
          </w:tcPr>
          <w:p w14:paraId="51F8BB51">
            <w:pPr>
              <w:overflowPunct w:val="0"/>
              <w:adjustRightInd w:val="0"/>
              <w:snapToGrid w:val="0"/>
              <w:spacing w:line="560" w:lineRule="exact"/>
              <w:rPr>
                <w:rFonts w:hint="eastAsia" w:ascii="仿宋_GB2312" w:hAnsi="仿宋" w:eastAsia="仿宋_GB2312"/>
                <w:sz w:val="28"/>
                <w:szCs w:val="28"/>
              </w:rPr>
            </w:pPr>
            <w:r>
              <w:rPr>
                <w:rFonts w:hint="eastAsia" w:ascii="仿宋_GB2312" w:hAnsi="仿宋" w:eastAsia="仿宋_GB2312"/>
                <w:sz w:val="28"/>
                <w:szCs w:val="28"/>
              </w:rPr>
              <w:t>最近一年负债率</w:t>
            </w:r>
          </w:p>
        </w:tc>
        <w:tc>
          <w:tcPr>
            <w:tcW w:w="2001" w:type="dxa"/>
          </w:tcPr>
          <w:p w14:paraId="4E48B5A2">
            <w:pPr>
              <w:overflowPunct w:val="0"/>
              <w:adjustRightInd w:val="0"/>
              <w:snapToGrid w:val="0"/>
              <w:spacing w:line="560" w:lineRule="exact"/>
              <w:rPr>
                <w:rFonts w:hint="eastAsia" w:ascii="仿宋_GB2312" w:hAnsi="仿宋" w:eastAsia="仿宋_GB2312"/>
                <w:sz w:val="28"/>
                <w:szCs w:val="28"/>
              </w:rPr>
            </w:pPr>
          </w:p>
        </w:tc>
        <w:tc>
          <w:tcPr>
            <w:tcW w:w="2317" w:type="dxa"/>
          </w:tcPr>
          <w:p w14:paraId="6A6F7EA3">
            <w:pPr>
              <w:overflowPunct w:val="0"/>
              <w:adjustRightInd w:val="0"/>
              <w:snapToGrid w:val="0"/>
              <w:spacing w:line="560" w:lineRule="exact"/>
              <w:rPr>
                <w:rFonts w:hint="eastAsia" w:ascii="仿宋_GB2312" w:hAnsi="仿宋" w:eastAsia="仿宋_GB2312"/>
                <w:sz w:val="28"/>
                <w:szCs w:val="28"/>
              </w:rPr>
            </w:pPr>
            <w:r>
              <w:rPr>
                <w:rFonts w:hint="eastAsia" w:ascii="仿宋_GB2312" w:hAnsi="仿宋" w:eastAsia="仿宋_GB2312"/>
                <w:sz w:val="28"/>
                <w:szCs w:val="28"/>
              </w:rPr>
              <w:t>最近一年利润总额</w:t>
            </w:r>
          </w:p>
        </w:tc>
        <w:tc>
          <w:tcPr>
            <w:tcW w:w="1897" w:type="dxa"/>
          </w:tcPr>
          <w:p w14:paraId="0BB89CF7">
            <w:pPr>
              <w:overflowPunct w:val="0"/>
              <w:adjustRightInd w:val="0"/>
              <w:snapToGrid w:val="0"/>
              <w:spacing w:line="560" w:lineRule="exact"/>
              <w:rPr>
                <w:rFonts w:hint="eastAsia" w:ascii="仿宋_GB2312" w:hAnsi="仿宋" w:eastAsia="仿宋_GB2312"/>
                <w:sz w:val="28"/>
                <w:szCs w:val="28"/>
              </w:rPr>
            </w:pPr>
          </w:p>
        </w:tc>
      </w:tr>
      <w:tr w14:paraId="3879DC16">
        <w:trPr>
          <w:trHeight w:val="90" w:hRule="atLeast"/>
        </w:trPr>
        <w:tc>
          <w:tcPr>
            <w:tcW w:w="1702" w:type="dxa"/>
          </w:tcPr>
          <w:p w14:paraId="50C2973A">
            <w:pPr>
              <w:overflowPunct w:val="0"/>
              <w:adjustRightInd w:val="0"/>
              <w:snapToGrid w:val="0"/>
              <w:spacing w:line="560" w:lineRule="exact"/>
              <w:rPr>
                <w:rFonts w:hint="eastAsia" w:ascii="仿宋_GB2312" w:hAnsi="仿宋" w:eastAsia="仿宋_GB2312"/>
                <w:sz w:val="32"/>
                <w:szCs w:val="32"/>
              </w:rPr>
            </w:pPr>
          </w:p>
          <w:p w14:paraId="3ADAC18A">
            <w:pPr>
              <w:overflowPunct w:val="0"/>
              <w:adjustRightInd w:val="0"/>
              <w:snapToGrid w:val="0"/>
              <w:spacing w:line="560" w:lineRule="exact"/>
              <w:rPr>
                <w:rFonts w:hint="eastAsia" w:ascii="仿宋_GB2312" w:hAnsi="仿宋" w:eastAsia="仿宋_GB2312"/>
                <w:sz w:val="32"/>
                <w:szCs w:val="32"/>
              </w:rPr>
            </w:pPr>
          </w:p>
          <w:p w14:paraId="7BDD3E78">
            <w:pPr>
              <w:overflowPunct w:val="0"/>
              <w:adjustRightInd w:val="0"/>
              <w:snapToGrid w:val="0"/>
              <w:spacing w:line="560" w:lineRule="exact"/>
              <w:rPr>
                <w:rFonts w:hint="eastAsia" w:ascii="仿宋_GB2312" w:hAnsi="仿宋" w:eastAsia="仿宋_GB2312"/>
                <w:sz w:val="28"/>
                <w:szCs w:val="28"/>
              </w:rPr>
            </w:pPr>
            <w:r>
              <w:rPr>
                <w:rFonts w:hint="eastAsia" w:ascii="仿宋_GB2312" w:hAnsi="仿宋" w:eastAsia="仿宋_GB2312"/>
                <w:sz w:val="28"/>
                <w:szCs w:val="28"/>
              </w:rPr>
              <w:t>主营业务</w:t>
            </w:r>
          </w:p>
          <w:p w14:paraId="4B72BAEB">
            <w:pPr>
              <w:overflowPunct w:val="0"/>
              <w:adjustRightInd w:val="0"/>
              <w:snapToGrid w:val="0"/>
              <w:spacing w:line="560" w:lineRule="exact"/>
              <w:rPr>
                <w:rFonts w:hint="eastAsia" w:ascii="仿宋_GB2312" w:hAnsi="仿宋" w:eastAsia="仿宋_GB2312"/>
                <w:sz w:val="28"/>
                <w:szCs w:val="28"/>
              </w:rPr>
            </w:pPr>
          </w:p>
          <w:p w14:paraId="17392A24">
            <w:pPr>
              <w:overflowPunct w:val="0"/>
              <w:adjustRightInd w:val="0"/>
              <w:snapToGrid w:val="0"/>
              <w:spacing w:line="560" w:lineRule="exact"/>
              <w:rPr>
                <w:rFonts w:hint="eastAsia" w:ascii="仿宋_GB2312" w:hAnsi="仿宋" w:eastAsia="仿宋_GB2312"/>
                <w:sz w:val="32"/>
                <w:szCs w:val="32"/>
              </w:rPr>
            </w:pPr>
          </w:p>
        </w:tc>
        <w:tc>
          <w:tcPr>
            <w:tcW w:w="7087" w:type="dxa"/>
            <w:gridSpan w:val="4"/>
          </w:tcPr>
          <w:p w14:paraId="34098E9E">
            <w:pPr>
              <w:overflowPunct w:val="0"/>
              <w:adjustRightInd w:val="0"/>
              <w:snapToGrid w:val="0"/>
              <w:spacing w:line="560" w:lineRule="exact"/>
              <w:rPr>
                <w:rFonts w:hint="eastAsia" w:ascii="仿宋_GB2312" w:hAnsi="仿宋" w:eastAsia="仿宋_GB2312"/>
                <w:sz w:val="32"/>
                <w:szCs w:val="32"/>
              </w:rPr>
            </w:pPr>
          </w:p>
        </w:tc>
      </w:tr>
      <w:tr w14:paraId="0D9E090F">
        <w:trPr>
          <w:trHeight w:val="5552" w:hRule="atLeast"/>
        </w:trPr>
        <w:tc>
          <w:tcPr>
            <w:tcW w:w="1702" w:type="dxa"/>
          </w:tcPr>
          <w:p w14:paraId="3AAA45BE">
            <w:pPr>
              <w:overflowPunct w:val="0"/>
              <w:adjustRightInd w:val="0"/>
              <w:snapToGrid w:val="0"/>
              <w:spacing w:line="560" w:lineRule="exact"/>
              <w:rPr>
                <w:rFonts w:hint="eastAsia" w:ascii="仿宋_GB2312" w:hAnsi="仿宋" w:eastAsia="仿宋_GB2312"/>
                <w:sz w:val="32"/>
                <w:szCs w:val="32"/>
              </w:rPr>
            </w:pPr>
          </w:p>
          <w:p w14:paraId="6F726F72">
            <w:pPr>
              <w:overflowPunct w:val="0"/>
              <w:adjustRightInd w:val="0"/>
              <w:snapToGrid w:val="0"/>
              <w:spacing w:line="560" w:lineRule="exact"/>
              <w:rPr>
                <w:rFonts w:hint="eastAsia" w:ascii="仿宋_GB2312" w:hAnsi="仿宋" w:eastAsia="仿宋_GB2312"/>
                <w:sz w:val="32"/>
                <w:szCs w:val="32"/>
              </w:rPr>
            </w:pPr>
          </w:p>
          <w:p w14:paraId="57BED340">
            <w:pPr>
              <w:overflowPunct w:val="0"/>
              <w:adjustRightInd w:val="0"/>
              <w:snapToGrid w:val="0"/>
              <w:spacing w:line="560" w:lineRule="exact"/>
              <w:rPr>
                <w:rFonts w:hint="eastAsia" w:ascii="仿宋_GB2312" w:hAnsi="仿宋" w:eastAsia="仿宋_GB2312"/>
                <w:sz w:val="32"/>
                <w:szCs w:val="32"/>
              </w:rPr>
            </w:pPr>
          </w:p>
          <w:p w14:paraId="629C9B55">
            <w:pPr>
              <w:overflowPunct w:val="0"/>
              <w:adjustRightInd w:val="0"/>
              <w:snapToGrid w:val="0"/>
              <w:spacing w:line="560" w:lineRule="exact"/>
              <w:rPr>
                <w:rFonts w:hint="eastAsia" w:ascii="仿宋_GB2312" w:hAnsi="仿宋" w:eastAsia="仿宋_GB2312"/>
                <w:sz w:val="28"/>
                <w:szCs w:val="28"/>
              </w:rPr>
            </w:pPr>
            <w:r>
              <w:rPr>
                <w:rFonts w:hint="eastAsia" w:ascii="仿宋_GB2312" w:hAnsi="仿宋" w:eastAsia="仿宋_GB2312"/>
                <w:sz w:val="28"/>
                <w:szCs w:val="28"/>
              </w:rPr>
              <w:t>业务亮点</w:t>
            </w:r>
          </w:p>
          <w:p w14:paraId="1AAE9199">
            <w:pPr>
              <w:overflowPunct w:val="0"/>
              <w:adjustRightInd w:val="0"/>
              <w:snapToGrid w:val="0"/>
              <w:spacing w:line="560" w:lineRule="exact"/>
              <w:rPr>
                <w:rFonts w:hint="eastAsia" w:ascii="仿宋_GB2312" w:hAnsi="仿宋" w:eastAsia="仿宋_GB2312"/>
                <w:sz w:val="28"/>
                <w:szCs w:val="28"/>
              </w:rPr>
            </w:pPr>
            <w:r>
              <w:rPr>
                <w:rFonts w:hint="eastAsia" w:ascii="仿宋_GB2312" w:hAnsi="仿宋" w:eastAsia="仿宋_GB2312"/>
                <w:sz w:val="28"/>
                <w:szCs w:val="28"/>
              </w:rPr>
              <w:t>或</w:t>
            </w:r>
          </w:p>
          <w:p w14:paraId="2D093834">
            <w:pPr>
              <w:overflowPunct w:val="0"/>
              <w:adjustRightInd w:val="0"/>
              <w:snapToGrid w:val="0"/>
              <w:spacing w:line="560" w:lineRule="exact"/>
              <w:rPr>
                <w:rFonts w:hint="eastAsia" w:ascii="仿宋_GB2312" w:hAnsi="仿宋" w:eastAsia="仿宋_GB2312"/>
                <w:sz w:val="32"/>
                <w:szCs w:val="32"/>
              </w:rPr>
            </w:pPr>
            <w:r>
              <w:rPr>
                <w:rFonts w:hint="eastAsia" w:ascii="仿宋_GB2312" w:hAnsi="仿宋" w:eastAsia="仿宋_GB2312"/>
                <w:sz w:val="28"/>
                <w:szCs w:val="28"/>
              </w:rPr>
              <w:t>成功案例</w:t>
            </w:r>
          </w:p>
        </w:tc>
        <w:tc>
          <w:tcPr>
            <w:tcW w:w="7087" w:type="dxa"/>
            <w:gridSpan w:val="4"/>
          </w:tcPr>
          <w:p w14:paraId="2E72889F">
            <w:pPr>
              <w:overflowPunct w:val="0"/>
              <w:adjustRightInd w:val="0"/>
              <w:snapToGrid w:val="0"/>
              <w:spacing w:line="560" w:lineRule="exact"/>
              <w:rPr>
                <w:rFonts w:hint="eastAsia" w:ascii="仿宋_GB2312" w:hAnsi="仿宋" w:eastAsia="仿宋_GB2312"/>
                <w:sz w:val="28"/>
                <w:szCs w:val="28"/>
              </w:rPr>
            </w:pPr>
          </w:p>
        </w:tc>
      </w:tr>
      <w:tr w14:paraId="29817403">
        <w:trPr>
          <w:trHeight w:val="5552" w:hRule="atLeast"/>
        </w:trPr>
        <w:tc>
          <w:tcPr>
            <w:tcW w:w="1702" w:type="dxa"/>
          </w:tcPr>
          <w:p w14:paraId="25EDC8B7">
            <w:pPr>
              <w:overflowPunct w:val="0"/>
              <w:adjustRightInd w:val="0"/>
              <w:snapToGrid w:val="0"/>
              <w:spacing w:line="560" w:lineRule="exact"/>
              <w:rPr>
                <w:rFonts w:hint="eastAsia" w:ascii="仿宋_GB2312" w:hAnsi="仿宋" w:eastAsia="仿宋_GB2312"/>
                <w:sz w:val="28"/>
                <w:szCs w:val="28"/>
              </w:rPr>
            </w:pPr>
          </w:p>
          <w:p w14:paraId="2E39DB84">
            <w:pPr>
              <w:overflowPunct w:val="0"/>
              <w:adjustRightInd w:val="0"/>
              <w:snapToGrid w:val="0"/>
              <w:spacing w:line="560" w:lineRule="exact"/>
              <w:rPr>
                <w:rFonts w:hint="eastAsia" w:ascii="仿宋_GB2312" w:hAnsi="仿宋" w:eastAsia="仿宋_GB2312"/>
                <w:sz w:val="28"/>
                <w:szCs w:val="28"/>
              </w:rPr>
            </w:pPr>
          </w:p>
          <w:p w14:paraId="7CA711EB">
            <w:pPr>
              <w:overflowPunct w:val="0"/>
              <w:adjustRightInd w:val="0"/>
              <w:snapToGrid w:val="0"/>
              <w:spacing w:line="560" w:lineRule="exact"/>
              <w:rPr>
                <w:rFonts w:hint="eastAsia" w:ascii="仿宋_GB2312" w:hAnsi="仿宋" w:eastAsia="仿宋_GB2312"/>
                <w:sz w:val="28"/>
                <w:szCs w:val="28"/>
              </w:rPr>
            </w:pPr>
          </w:p>
          <w:p w14:paraId="306762B4">
            <w:pPr>
              <w:overflowPunct w:val="0"/>
              <w:adjustRightInd w:val="0"/>
              <w:snapToGrid w:val="0"/>
              <w:spacing w:line="560" w:lineRule="exact"/>
              <w:rPr>
                <w:rFonts w:hint="eastAsia" w:ascii="仿宋_GB2312" w:hAnsi="仿宋" w:eastAsia="仿宋_GB2312"/>
                <w:sz w:val="28"/>
                <w:szCs w:val="28"/>
              </w:rPr>
            </w:pPr>
          </w:p>
          <w:p w14:paraId="09425076">
            <w:pPr>
              <w:overflowPunct w:val="0"/>
              <w:adjustRightInd w:val="0"/>
              <w:snapToGrid w:val="0"/>
              <w:spacing w:line="560" w:lineRule="exact"/>
              <w:rPr>
                <w:rFonts w:hint="eastAsia" w:ascii="仿宋_GB2312" w:hAnsi="仿宋" w:eastAsia="仿宋_GB2312"/>
                <w:sz w:val="28"/>
                <w:szCs w:val="28"/>
              </w:rPr>
            </w:pPr>
          </w:p>
          <w:p w14:paraId="501573C4">
            <w:pPr>
              <w:overflowPunct w:val="0"/>
              <w:adjustRightInd w:val="0"/>
              <w:snapToGrid w:val="0"/>
              <w:spacing w:line="560" w:lineRule="exact"/>
              <w:rPr>
                <w:rFonts w:hint="eastAsia" w:ascii="仿宋_GB2312" w:hAnsi="仿宋" w:eastAsia="仿宋_GB2312"/>
                <w:sz w:val="28"/>
                <w:szCs w:val="28"/>
              </w:rPr>
            </w:pPr>
          </w:p>
          <w:p w14:paraId="6207092F">
            <w:pPr>
              <w:overflowPunct w:val="0"/>
              <w:adjustRightInd w:val="0"/>
              <w:snapToGrid w:val="0"/>
              <w:spacing w:line="560" w:lineRule="exact"/>
              <w:rPr>
                <w:rFonts w:hint="eastAsia" w:ascii="仿宋_GB2312" w:hAnsi="仿宋" w:eastAsia="仿宋_GB2312"/>
                <w:sz w:val="28"/>
                <w:szCs w:val="28"/>
              </w:rPr>
            </w:pPr>
          </w:p>
          <w:p w14:paraId="42F827E4">
            <w:pPr>
              <w:overflowPunct w:val="0"/>
              <w:adjustRightInd w:val="0"/>
              <w:snapToGrid w:val="0"/>
              <w:spacing w:line="560" w:lineRule="exact"/>
              <w:rPr>
                <w:rFonts w:hint="eastAsia" w:ascii="仿宋_GB2312" w:hAnsi="仿宋" w:eastAsia="仿宋_GB2312"/>
                <w:sz w:val="28"/>
                <w:szCs w:val="28"/>
              </w:rPr>
            </w:pPr>
          </w:p>
          <w:p w14:paraId="451F2B2C">
            <w:pPr>
              <w:overflowPunct w:val="0"/>
              <w:adjustRightInd w:val="0"/>
              <w:snapToGrid w:val="0"/>
              <w:spacing w:line="560" w:lineRule="exact"/>
              <w:rPr>
                <w:rFonts w:hint="eastAsia" w:ascii="仿宋_GB2312" w:hAnsi="仿宋" w:eastAsia="仿宋_GB2312"/>
                <w:sz w:val="28"/>
                <w:szCs w:val="28"/>
              </w:rPr>
            </w:pPr>
          </w:p>
          <w:p w14:paraId="57C80C8D">
            <w:pPr>
              <w:overflowPunct w:val="0"/>
              <w:adjustRightInd w:val="0"/>
              <w:snapToGrid w:val="0"/>
              <w:spacing w:line="560" w:lineRule="exact"/>
              <w:rPr>
                <w:rFonts w:hint="eastAsia" w:ascii="仿宋_GB2312" w:hAnsi="仿宋" w:eastAsia="仿宋_GB2312"/>
                <w:sz w:val="28"/>
                <w:szCs w:val="28"/>
              </w:rPr>
            </w:pPr>
          </w:p>
          <w:p w14:paraId="309667B2">
            <w:pPr>
              <w:overflowPunct w:val="0"/>
              <w:adjustRightInd w:val="0"/>
              <w:snapToGrid w:val="0"/>
              <w:spacing w:line="560" w:lineRule="exact"/>
              <w:rPr>
                <w:rFonts w:hint="eastAsia" w:ascii="仿宋_GB2312" w:hAnsi="仿宋" w:eastAsia="仿宋_GB2312"/>
                <w:sz w:val="28"/>
                <w:szCs w:val="28"/>
              </w:rPr>
            </w:pPr>
            <w:r>
              <w:rPr>
                <w:rFonts w:hint="eastAsia" w:ascii="仿宋_GB2312" w:hAnsi="仿宋" w:eastAsia="仿宋_GB2312"/>
                <w:sz w:val="28"/>
                <w:szCs w:val="28"/>
              </w:rPr>
              <w:t>意向合作领域（打“√”</w:t>
            </w:r>
          </w:p>
          <w:p w14:paraId="376A3B6A">
            <w:pPr>
              <w:overflowPunct w:val="0"/>
              <w:adjustRightInd w:val="0"/>
              <w:snapToGrid w:val="0"/>
              <w:spacing w:line="560" w:lineRule="exact"/>
              <w:rPr>
                <w:rFonts w:hint="eastAsia" w:ascii="仿宋_GB2312" w:hAnsi="仿宋" w:eastAsia="仿宋_GB2312"/>
                <w:sz w:val="28"/>
                <w:szCs w:val="28"/>
              </w:rPr>
            </w:pPr>
            <w:r>
              <w:rPr>
                <w:rFonts w:hint="eastAsia" w:ascii="仿宋_GB2312" w:hAnsi="仿宋" w:eastAsia="仿宋_GB2312"/>
                <w:sz w:val="28"/>
                <w:szCs w:val="28"/>
              </w:rPr>
              <w:t>，可多选</w:t>
            </w:r>
            <w:r>
              <w:rPr>
                <w:rFonts w:ascii="仿宋_GB2312" w:hAnsi="仿宋" w:eastAsia="仿宋_GB2312"/>
                <w:sz w:val="28"/>
                <w:szCs w:val="28"/>
              </w:rPr>
              <w:t>）</w:t>
            </w:r>
          </w:p>
        </w:tc>
        <w:tc>
          <w:tcPr>
            <w:tcW w:w="7087" w:type="dxa"/>
            <w:gridSpan w:val="4"/>
          </w:tcPr>
          <w:p w14:paraId="60258C29">
            <w:pPr>
              <w:rPr>
                <w:rFonts w:hint="eastAsia" w:ascii="仿宋_GB2312" w:hAnsi="仿宋" w:eastAsia="仿宋_GB2312"/>
                <w:sz w:val="28"/>
                <w:szCs w:val="32"/>
              </w:rPr>
            </w:pPr>
            <w:r>
              <w:rPr>
                <w:rFonts w:hint="eastAsia" w:ascii="仿宋_GB2312" w:hAnsi="仿宋" w:eastAsia="仿宋_GB2312"/>
                <w:sz w:val="28"/>
                <w:szCs w:val="32"/>
              </w:rPr>
              <w:t>（1）活动策划与执行：方案策划/流程管理/现场统筹/会务等人员服务/会议物料制作等                 （  ）</w:t>
            </w:r>
          </w:p>
          <w:p w14:paraId="1B7EFBEE">
            <w:pPr>
              <w:rPr>
                <w:rFonts w:hint="eastAsia" w:ascii="仿宋_GB2312" w:hAnsi="仿宋" w:eastAsia="仿宋_GB2312"/>
                <w:sz w:val="28"/>
                <w:szCs w:val="32"/>
              </w:rPr>
            </w:pPr>
            <w:r>
              <w:rPr>
                <w:rFonts w:hint="eastAsia" w:ascii="仿宋_GB2312" w:hAnsi="仿宋" w:eastAsia="仿宋_GB2312"/>
                <w:sz w:val="28"/>
                <w:szCs w:val="32"/>
              </w:rPr>
              <w:t>（2）场馆与设施服务：场地租赁/展台搭建/灯光音响设备租赁等                                    （  ）</w:t>
            </w:r>
          </w:p>
          <w:p w14:paraId="719396AD">
            <w:pPr>
              <w:rPr>
                <w:rFonts w:hint="eastAsia" w:ascii="仿宋_GB2312" w:hAnsi="仿宋" w:eastAsia="仿宋_GB2312"/>
                <w:sz w:val="28"/>
                <w:szCs w:val="32"/>
              </w:rPr>
            </w:pPr>
            <w:r>
              <w:rPr>
                <w:rFonts w:hint="eastAsia" w:ascii="仿宋_GB2312" w:hAnsi="仿宋" w:eastAsia="仿宋_GB2312"/>
                <w:sz w:val="28"/>
                <w:szCs w:val="32"/>
              </w:rPr>
              <w:t>（3）数字技术支撑：线上会议系统设计搭建/虚拟展厅开发/AI及数字人运维/网络安全与信息保护等      （  ）</w:t>
            </w:r>
          </w:p>
          <w:p w14:paraId="4608540C">
            <w:pPr>
              <w:rPr>
                <w:rFonts w:hint="eastAsia" w:ascii="仿宋_GB2312" w:hAnsi="仿宋" w:eastAsia="仿宋_GB2312"/>
                <w:sz w:val="28"/>
                <w:szCs w:val="32"/>
              </w:rPr>
            </w:pPr>
            <w:r>
              <w:rPr>
                <w:rFonts w:hint="eastAsia" w:ascii="仿宋_GB2312" w:hAnsi="仿宋" w:eastAsia="仿宋_GB2312"/>
                <w:sz w:val="28"/>
                <w:szCs w:val="32"/>
              </w:rPr>
              <w:t>（4）视觉创意与制作：主视觉设计/多媒体内容制作/沉浸式体验装置配置等                           （  ）</w:t>
            </w:r>
          </w:p>
          <w:p w14:paraId="488D2B19">
            <w:pPr>
              <w:rPr>
                <w:rFonts w:hint="eastAsia" w:ascii="仿宋_GB2312" w:hAnsi="仿宋" w:eastAsia="仿宋_GB2312"/>
                <w:sz w:val="28"/>
                <w:szCs w:val="32"/>
              </w:rPr>
            </w:pPr>
            <w:r>
              <w:rPr>
                <w:rFonts w:hint="eastAsia" w:ascii="仿宋_GB2312" w:hAnsi="仿宋" w:eastAsia="仿宋_GB2312"/>
                <w:sz w:val="28"/>
                <w:szCs w:val="32"/>
              </w:rPr>
              <w:t>（5）公关传播与推广：媒体关系/素材摄制及制作/全渠道传播/舆情监测等                            （  ）</w:t>
            </w:r>
          </w:p>
          <w:p w14:paraId="6ABB36A5">
            <w:pPr>
              <w:rPr>
                <w:rFonts w:hint="eastAsia" w:ascii="仿宋_GB2312" w:hAnsi="仿宋" w:eastAsia="仿宋_GB2312"/>
                <w:sz w:val="28"/>
                <w:szCs w:val="32"/>
              </w:rPr>
            </w:pPr>
            <w:r>
              <w:rPr>
                <w:rFonts w:hint="eastAsia" w:ascii="仿宋_GB2312" w:hAnsi="仿宋" w:eastAsia="仿宋_GB2312"/>
                <w:sz w:val="28"/>
                <w:szCs w:val="32"/>
              </w:rPr>
              <w:t>（6）嘉宾与参会者服务：嘉宾邀请及接待/多语种翻译及速记/差旅统筹等                              （  ）</w:t>
            </w:r>
          </w:p>
          <w:p w14:paraId="2B2C4C9B">
            <w:pPr>
              <w:rPr>
                <w:rFonts w:hint="eastAsia" w:ascii="仿宋_GB2312" w:hAnsi="仿宋" w:eastAsia="仿宋_GB2312"/>
                <w:sz w:val="28"/>
                <w:szCs w:val="32"/>
              </w:rPr>
            </w:pPr>
            <w:r>
              <w:rPr>
                <w:rFonts w:hint="eastAsia" w:ascii="仿宋_GB2312" w:hAnsi="仿宋" w:eastAsia="仿宋_GB2312"/>
                <w:sz w:val="28"/>
                <w:szCs w:val="32"/>
              </w:rPr>
              <w:t>（7）渠道开发与运营：文化IP转化/销售渠道管理</w:t>
            </w:r>
            <w:r>
              <w:rPr>
                <w:rFonts w:hint="eastAsia"/>
              </w:rPr>
              <w:t xml:space="preserve"> </w:t>
            </w:r>
            <w:r>
              <w:rPr>
                <w:rFonts w:hint="eastAsia" w:ascii="仿宋_GB2312" w:hAnsi="仿宋" w:eastAsia="仿宋_GB2312"/>
                <w:sz w:val="28"/>
                <w:szCs w:val="32"/>
              </w:rPr>
              <w:t>/线上商城开发/快闪店全案执行                    （  ）</w:t>
            </w:r>
          </w:p>
          <w:p w14:paraId="5D83A907">
            <w:pPr>
              <w:rPr>
                <w:rFonts w:hint="eastAsia" w:ascii="仿宋_GB2312" w:hAnsi="仿宋" w:eastAsia="仿宋_GB2312"/>
                <w:sz w:val="28"/>
                <w:szCs w:val="32"/>
              </w:rPr>
            </w:pPr>
            <w:r>
              <w:rPr>
                <w:rFonts w:hint="eastAsia" w:ascii="仿宋_GB2312" w:hAnsi="仿宋" w:eastAsia="仿宋_GB2312"/>
                <w:sz w:val="28"/>
                <w:szCs w:val="32"/>
              </w:rPr>
              <w:t>（8）供应链保障：餐饮住宿/物流仓储/医疗急救  （  ）</w:t>
            </w:r>
          </w:p>
          <w:p w14:paraId="1EF85FC4">
            <w:pPr>
              <w:rPr>
                <w:rFonts w:hint="eastAsia" w:ascii="仿宋_GB2312" w:hAnsi="仿宋" w:eastAsia="仿宋_GB2312"/>
                <w:sz w:val="28"/>
                <w:szCs w:val="32"/>
              </w:rPr>
            </w:pPr>
            <w:r>
              <w:rPr>
                <w:rFonts w:hint="eastAsia" w:ascii="仿宋_GB2312" w:hAnsi="仿宋" w:eastAsia="仿宋_GB2312"/>
                <w:sz w:val="28"/>
                <w:szCs w:val="32"/>
              </w:rPr>
              <w:t>（9）战略咨询与规划：</w:t>
            </w:r>
            <w:r>
              <w:rPr>
                <w:rFonts w:ascii="Calibri" w:hAnsi="Calibri" w:eastAsia="仿宋_GB2312" w:cs="Calibri"/>
                <w:sz w:val="28"/>
                <w:szCs w:val="32"/>
              </w:rPr>
              <w:t> </w:t>
            </w:r>
            <w:r>
              <w:rPr>
                <w:rFonts w:hint="eastAsia" w:ascii="仿宋_GB2312" w:hAnsi="仿宋" w:eastAsia="仿宋_GB2312"/>
                <w:sz w:val="28"/>
                <w:szCs w:val="32"/>
              </w:rPr>
              <w:t>企业战略咨询/资源整合方案/成本效益优化/财法专业咨询等                    （  ）</w:t>
            </w:r>
          </w:p>
          <w:p w14:paraId="397E9D19">
            <w:pPr>
              <w:rPr>
                <w:rFonts w:hint="eastAsia" w:ascii="仿宋_GB2312" w:hAnsi="仿宋" w:eastAsia="仿宋_GB2312"/>
                <w:sz w:val="28"/>
                <w:szCs w:val="32"/>
              </w:rPr>
            </w:pPr>
            <w:r>
              <w:rPr>
                <w:rFonts w:hint="eastAsia" w:ascii="仿宋_GB2312" w:hAnsi="仿宋" w:eastAsia="仿宋_GB2312"/>
                <w:sz w:val="28"/>
                <w:szCs w:val="32"/>
              </w:rPr>
              <w:t>（10）专项认证与合规：质量体系认证/安全风险评估/项目专项审计等                                 （  ）</w:t>
            </w:r>
          </w:p>
          <w:p w14:paraId="01761147">
            <w:pPr>
              <w:overflowPunct w:val="0"/>
              <w:adjustRightInd w:val="0"/>
              <w:snapToGrid w:val="0"/>
              <w:spacing w:line="560" w:lineRule="exact"/>
              <w:rPr>
                <w:rFonts w:hint="eastAsia" w:ascii="仿宋_GB2312" w:hAnsi="仿宋" w:eastAsia="仿宋_GB2312"/>
                <w:sz w:val="28"/>
                <w:szCs w:val="28"/>
              </w:rPr>
            </w:pPr>
            <w:r>
              <w:rPr>
                <w:rFonts w:hint="eastAsia" w:ascii="仿宋_GB2312" w:hAnsi="仿宋" w:eastAsia="仿宋_GB2312"/>
                <w:sz w:val="28"/>
                <w:szCs w:val="32"/>
              </w:rPr>
              <w:t>（11）其他可为公司提供相关服务的供应商       （  ）</w:t>
            </w:r>
          </w:p>
        </w:tc>
      </w:tr>
    </w:tbl>
    <w:p w14:paraId="1EF0264A">
      <w:pPr>
        <w:overflowPunct w:val="0"/>
        <w:adjustRightInd w:val="0"/>
        <w:snapToGrid w:val="0"/>
        <w:rPr>
          <w:rFonts w:hint="eastAsia" w:ascii="仿宋" w:hAnsi="仿宋" w:eastAsia="仿宋"/>
          <w:szCs w:val="21"/>
          <w:highlight w:val="yellow"/>
        </w:rPr>
      </w:pPr>
      <w:r>
        <w:rPr>
          <w:rFonts w:hint="eastAsia" w:ascii="仿宋" w:hAnsi="仿宋" w:eastAsia="仿宋"/>
          <w:sz w:val="24"/>
          <w:highlight w:val="yellow"/>
        </w:rPr>
        <w:t>注：请供应商随本表附营业执照、最近一年审计报告或财务报表。</w:t>
      </w:r>
    </w:p>
    <w:p w14:paraId="38A1617E">
      <w:pPr>
        <w:overflowPunct w:val="0"/>
        <w:adjustRightInd w:val="0"/>
        <w:snapToGrid w:val="0"/>
        <w:rPr>
          <w:rFonts w:hint="eastAsia"/>
          <w:highlight w:val="yellow"/>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等线 Light">
    <w:altName w:val="汉仪中等线KW"/>
    <w:panose1 w:val="02010600030101010101"/>
    <w:charset w:val="86"/>
    <w:family w:val="auto"/>
    <w:pitch w:val="default"/>
    <w:sig w:usb0="00000000" w:usb1="00000000" w:usb2="00000016" w:usb3="00000000" w:csb0="0004000F" w:csb1="00000000"/>
  </w:font>
  <w:font w:name="华文中宋">
    <w:altName w:val="汉仪书宋二KW"/>
    <w:panose1 w:val="02010600040101010101"/>
    <w:charset w:val="86"/>
    <w:family w:val="auto"/>
    <w:pitch w:val="default"/>
    <w:sig w:usb0="00000000" w:usb1="00000000" w:usb2="00000010" w:usb3="00000000" w:csb0="0004009F" w:csb1="00000000"/>
  </w:font>
  <w:font w:name="仿宋">
    <w:altName w:val="方正仿宋_GBK"/>
    <w:panose1 w:val="02010609060101010101"/>
    <w:charset w:val="86"/>
    <w:family w:val="modern"/>
    <w:pitch w:val="default"/>
    <w:sig w:usb0="00000000" w:usb1="00000000" w:usb2="00000016" w:usb3="00000000" w:csb0="00040001" w:csb1="00000000"/>
  </w:font>
  <w:font w:name="方正小标宋简体">
    <w:altName w:val="汉仪书宋二KW"/>
    <w:panose1 w:val="03000509000000000000"/>
    <w:charset w:val="86"/>
    <w:family w:val="script"/>
    <w:pitch w:val="default"/>
    <w:sig w:usb0="00000000" w:usb1="00000000" w:usb2="00000010" w:usb3="00000000" w:csb0="00040000" w:csb1="00000000"/>
  </w:font>
  <w:font w:name="仿宋_GB2312">
    <w:altName w:val="方正仿宋_GBK"/>
    <w:panose1 w:val="02010609030101010101"/>
    <w:charset w:val="86"/>
    <w:family w:val="modern"/>
    <w:pitch w:val="default"/>
    <w:sig w:usb0="00000000" w:usb1="00000000" w:usb2="00000010" w:usb3="00000000" w:csb0="00040000" w:csb1="00000000"/>
  </w:font>
  <w:font w:name="汉仪中等线KW">
    <w:panose1 w:val="01010104010101010101"/>
    <w:charset w:val="86"/>
    <w:family w:val="auto"/>
    <w:pitch w:val="default"/>
    <w:sig w:usb0="800002BF" w:usb1="004F7CFA" w:usb2="00000000" w:usb3="00000000" w:csb0="00040001" w:csb1="00000000"/>
  </w:font>
  <w:font w:name="汉仪中黑KW">
    <w:panose1 w:val="00020600040101010101"/>
    <w:charset w:val="86"/>
    <w:family w:val="auto"/>
    <w:pitch w:val="default"/>
    <w:sig w:usb0="A00002BF" w:usb1="18EF7CFA" w:usb2="00000016" w:usb3="00000000" w:csb0="00040000"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PingFang SC">
    <w:panose1 w:val="020B0400000000000000"/>
    <w:charset w:val="86"/>
    <w:family w:val="auto"/>
    <w:pitch w:val="default"/>
    <w:sig w:usb0="A00002FF" w:usb1="7ACFFDFB" w:usb2="00000017" w:usb3="00000000" w:csb0="00040001" w:csb1="00000000"/>
  </w:font>
  <w:font w:name="Tahoma">
    <w:panose1 w:val="020B0604030504040204"/>
    <w:charset w:val="00"/>
    <w:family w:val="auto"/>
    <w:pitch w:val="default"/>
    <w:sig w:usb0="E1002AFF" w:usb1="C000605B" w:usb2="00000029" w:usb3="00000000" w:csb0="200101FF" w:csb1="20280000"/>
  </w:font>
  <w:font w:name="等线 Light">
    <w:altName w:val="汉仪中等线KW"/>
    <w:panose1 w:val="00000000000000000000"/>
    <w:charset w:val="00"/>
    <w:family w:val="auto"/>
    <w:pitch w:val="default"/>
    <w:sig w:usb0="00000000" w:usb1="00000000" w:usb2="00000000" w:usb3="00000000" w:csb0="0000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0BA1"/>
    <w:rsid w:val="000860E4"/>
    <w:rsid w:val="00190B2D"/>
    <w:rsid w:val="00404387"/>
    <w:rsid w:val="00552CBE"/>
    <w:rsid w:val="00645356"/>
    <w:rsid w:val="00656FD6"/>
    <w:rsid w:val="009B4200"/>
    <w:rsid w:val="00AB03E5"/>
    <w:rsid w:val="00CF297A"/>
    <w:rsid w:val="00D8243B"/>
    <w:rsid w:val="00D90BA1"/>
    <w:rsid w:val="00EE5539"/>
    <w:rsid w:val="2EACE186"/>
    <w:rsid w:val="EEFFEC64"/>
    <w:rsid w:val="F7EF64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none"/>
    </w:rPr>
  </w:style>
  <w:style w:type="paragraph" w:styleId="2">
    <w:name w:val="heading 1"/>
    <w:basedOn w:val="1"/>
    <w:next w:val="1"/>
    <w:link w:val="18"/>
    <w:qFormat/>
    <w:uiPriority w:val="9"/>
    <w:pPr>
      <w:keepNext/>
      <w:keepLines/>
      <w:spacing w:before="480" w:after="80"/>
      <w:outlineLvl w:val="0"/>
    </w:pPr>
    <w:rPr>
      <w:rFonts w:asciiTheme="majorHAnsi" w:hAnsiTheme="majorHAnsi" w:eastAsiaTheme="majorEastAsia" w:cstheme="majorBidi"/>
      <w:color w:val="2F5597" w:themeColor="accent1" w:themeShade="BF"/>
      <w:sz w:val="48"/>
      <w:szCs w:val="48"/>
      <w14:ligatures w14:val="standardContextual"/>
    </w:rPr>
  </w:style>
  <w:style w:type="paragraph" w:styleId="3">
    <w:name w:val="heading 2"/>
    <w:basedOn w:val="1"/>
    <w:next w:val="1"/>
    <w:link w:val="19"/>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40"/>
      <w:szCs w:val="40"/>
      <w14:ligatures w14:val="standardContextual"/>
    </w:rPr>
  </w:style>
  <w:style w:type="paragraph" w:styleId="4">
    <w:name w:val="heading 3"/>
    <w:basedOn w:val="1"/>
    <w:next w:val="1"/>
    <w:link w:val="20"/>
    <w:semiHidden/>
    <w:unhideWhenUsed/>
    <w:qFormat/>
    <w:uiPriority w:val="9"/>
    <w:pPr>
      <w:keepNext/>
      <w:keepLines/>
      <w:spacing w:before="160" w:after="80"/>
      <w:outlineLvl w:val="2"/>
    </w:pPr>
    <w:rPr>
      <w:rFonts w:asciiTheme="majorHAnsi" w:hAnsiTheme="majorHAnsi" w:eastAsiaTheme="majorEastAsia" w:cstheme="majorBidi"/>
      <w:color w:val="2F5597" w:themeColor="accent1" w:themeShade="BF"/>
      <w:sz w:val="32"/>
      <w:szCs w:val="32"/>
      <w14:ligatures w14:val="standardContextual"/>
    </w:rPr>
  </w:style>
  <w:style w:type="paragraph" w:styleId="5">
    <w:name w:val="heading 4"/>
    <w:basedOn w:val="1"/>
    <w:next w:val="1"/>
    <w:link w:val="21"/>
    <w:semiHidden/>
    <w:unhideWhenUsed/>
    <w:qFormat/>
    <w:uiPriority w:val="9"/>
    <w:pPr>
      <w:keepNext/>
      <w:keepLines/>
      <w:spacing w:before="80" w:after="40"/>
      <w:outlineLvl w:val="3"/>
    </w:pPr>
    <w:rPr>
      <w:rFonts w:cstheme="majorBidi"/>
      <w:color w:val="2F5597" w:themeColor="accent1" w:themeShade="BF"/>
      <w:sz w:val="28"/>
      <w:szCs w:val="28"/>
      <w14:ligatures w14:val="standardContextual"/>
    </w:rPr>
  </w:style>
  <w:style w:type="paragraph" w:styleId="6">
    <w:name w:val="heading 5"/>
    <w:basedOn w:val="1"/>
    <w:next w:val="1"/>
    <w:link w:val="22"/>
    <w:semiHidden/>
    <w:unhideWhenUsed/>
    <w:qFormat/>
    <w:uiPriority w:val="9"/>
    <w:pPr>
      <w:keepNext/>
      <w:keepLines/>
      <w:spacing w:before="80" w:after="40"/>
      <w:outlineLvl w:val="4"/>
    </w:pPr>
    <w:rPr>
      <w:rFonts w:cstheme="majorBidi"/>
      <w:color w:val="2F5597" w:themeColor="accent1" w:themeShade="BF"/>
      <w:sz w:val="24"/>
      <w:szCs w:val="24"/>
      <w14:ligatures w14:val="standardContextual"/>
    </w:rPr>
  </w:style>
  <w:style w:type="paragraph" w:styleId="7">
    <w:name w:val="heading 6"/>
    <w:basedOn w:val="1"/>
    <w:next w:val="1"/>
    <w:link w:val="23"/>
    <w:semiHidden/>
    <w:unhideWhenUsed/>
    <w:qFormat/>
    <w:uiPriority w:val="9"/>
    <w:pPr>
      <w:keepNext/>
      <w:keepLines/>
      <w:spacing w:before="40"/>
      <w:outlineLvl w:val="5"/>
    </w:pPr>
    <w:rPr>
      <w:rFonts w:cstheme="majorBidi"/>
      <w:b/>
      <w:bCs/>
      <w:color w:val="2F5597" w:themeColor="accent1" w:themeShade="BF"/>
      <w14:ligatures w14:val="standardContextual"/>
    </w:rPr>
  </w:style>
  <w:style w:type="paragraph" w:styleId="8">
    <w:name w:val="heading 7"/>
    <w:basedOn w:val="1"/>
    <w:next w:val="1"/>
    <w:link w:val="24"/>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14:ligatures w14:val="standardContextual"/>
    </w:rPr>
  </w:style>
  <w:style w:type="paragraph" w:styleId="9">
    <w:name w:val="heading 8"/>
    <w:basedOn w:val="1"/>
    <w:next w:val="1"/>
    <w:link w:val="25"/>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14:ligatures w14:val="standardContextual"/>
    </w:rPr>
  </w:style>
  <w:style w:type="paragraph" w:styleId="10">
    <w:name w:val="heading 9"/>
    <w:basedOn w:val="1"/>
    <w:next w:val="1"/>
    <w:link w:val="26"/>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14:ligatures w14:val="standardContextual"/>
    </w:rPr>
  </w:style>
  <w:style w:type="character" w:default="1" w:styleId="16">
    <w:name w:val="Default Paragraph Font"/>
    <w:semiHidden/>
    <w:unhideWhenUsed/>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11">
    <w:name w:val="Subtitle"/>
    <w:basedOn w:val="1"/>
    <w:next w:val="1"/>
    <w:link w:val="28"/>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14:ligatures w14:val="standardContextual"/>
    </w:rPr>
  </w:style>
  <w:style w:type="paragraph" w:styleId="12">
    <w:name w:val="footnote text"/>
    <w:basedOn w:val="1"/>
    <w:link w:val="36"/>
    <w:qFormat/>
    <w:uiPriority w:val="0"/>
    <w:pPr>
      <w:snapToGrid w:val="0"/>
      <w:jc w:val="left"/>
    </w:pPr>
    <w:rPr>
      <w:rFonts w:ascii="Times New Roman" w:hAnsi="Times New Roman" w:eastAsia="宋体" w:cs="Times New Roman"/>
      <w:sz w:val="18"/>
      <w:szCs w:val="18"/>
    </w:rPr>
  </w:style>
  <w:style w:type="paragraph" w:styleId="13">
    <w:name w:val="Title"/>
    <w:basedOn w:val="1"/>
    <w:next w:val="1"/>
    <w:link w:val="27"/>
    <w:qFormat/>
    <w:uiPriority w:val="10"/>
    <w:pPr>
      <w:spacing w:after="80"/>
      <w:contextualSpacing/>
      <w:jc w:val="center"/>
    </w:pPr>
    <w:rPr>
      <w:rFonts w:asciiTheme="majorHAnsi" w:hAnsiTheme="majorHAnsi" w:eastAsiaTheme="majorEastAsia" w:cstheme="majorBidi"/>
      <w:spacing w:val="-10"/>
      <w:kern w:val="28"/>
      <w:sz w:val="56"/>
      <w:szCs w:val="56"/>
      <w14:ligatures w14:val="standardContextual"/>
    </w:rPr>
  </w:style>
  <w:style w:type="table" w:styleId="15">
    <w:name w:val="Table Grid"/>
    <w:basedOn w:val="14"/>
    <w:qFormat/>
    <w:uiPriority w:val="0"/>
    <w:rPr>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footnote reference"/>
    <w:basedOn w:val="16"/>
    <w:qFormat/>
    <w:uiPriority w:val="0"/>
    <w:rPr>
      <w:vertAlign w:val="superscript"/>
    </w:rPr>
  </w:style>
  <w:style w:type="character" w:customStyle="1" w:styleId="18">
    <w:name w:val="标题 1 字符"/>
    <w:basedOn w:val="16"/>
    <w:link w:val="2"/>
    <w:uiPriority w:val="9"/>
    <w:rPr>
      <w:rFonts w:asciiTheme="majorHAnsi" w:hAnsiTheme="majorHAnsi" w:eastAsiaTheme="majorEastAsia" w:cstheme="majorBidi"/>
      <w:color w:val="2F5597" w:themeColor="accent1" w:themeShade="BF"/>
      <w:sz w:val="48"/>
      <w:szCs w:val="48"/>
    </w:rPr>
  </w:style>
  <w:style w:type="character" w:customStyle="1" w:styleId="19">
    <w:name w:val="标题 2 字符"/>
    <w:basedOn w:val="16"/>
    <w:link w:val="3"/>
    <w:semiHidden/>
    <w:uiPriority w:val="9"/>
    <w:rPr>
      <w:rFonts w:asciiTheme="majorHAnsi" w:hAnsiTheme="majorHAnsi" w:eastAsiaTheme="majorEastAsia" w:cstheme="majorBidi"/>
      <w:color w:val="2F5597" w:themeColor="accent1" w:themeShade="BF"/>
      <w:sz w:val="40"/>
      <w:szCs w:val="40"/>
    </w:rPr>
  </w:style>
  <w:style w:type="character" w:customStyle="1" w:styleId="20">
    <w:name w:val="标题 3 字符"/>
    <w:basedOn w:val="16"/>
    <w:link w:val="4"/>
    <w:semiHidden/>
    <w:uiPriority w:val="9"/>
    <w:rPr>
      <w:rFonts w:asciiTheme="majorHAnsi" w:hAnsiTheme="majorHAnsi" w:eastAsiaTheme="majorEastAsia" w:cstheme="majorBidi"/>
      <w:color w:val="2F5597" w:themeColor="accent1" w:themeShade="BF"/>
      <w:sz w:val="32"/>
      <w:szCs w:val="32"/>
    </w:rPr>
  </w:style>
  <w:style w:type="character" w:customStyle="1" w:styleId="21">
    <w:name w:val="标题 4 字符"/>
    <w:basedOn w:val="16"/>
    <w:link w:val="5"/>
    <w:semiHidden/>
    <w:uiPriority w:val="9"/>
    <w:rPr>
      <w:rFonts w:cstheme="majorBidi"/>
      <w:color w:val="2F5597" w:themeColor="accent1" w:themeShade="BF"/>
      <w:sz w:val="28"/>
      <w:szCs w:val="28"/>
    </w:rPr>
  </w:style>
  <w:style w:type="character" w:customStyle="1" w:styleId="22">
    <w:name w:val="标题 5 字符"/>
    <w:basedOn w:val="16"/>
    <w:link w:val="6"/>
    <w:semiHidden/>
    <w:uiPriority w:val="9"/>
    <w:rPr>
      <w:rFonts w:cstheme="majorBidi"/>
      <w:color w:val="2F5597" w:themeColor="accent1" w:themeShade="BF"/>
      <w:sz w:val="24"/>
      <w:szCs w:val="24"/>
    </w:rPr>
  </w:style>
  <w:style w:type="character" w:customStyle="1" w:styleId="23">
    <w:name w:val="标题 6 字符"/>
    <w:basedOn w:val="16"/>
    <w:link w:val="7"/>
    <w:semiHidden/>
    <w:uiPriority w:val="9"/>
    <w:rPr>
      <w:rFonts w:cstheme="majorBidi"/>
      <w:b/>
      <w:bCs/>
      <w:color w:val="2F5597" w:themeColor="accent1" w:themeShade="BF"/>
    </w:rPr>
  </w:style>
  <w:style w:type="character" w:customStyle="1" w:styleId="24">
    <w:name w:val="标题 7 字符"/>
    <w:basedOn w:val="16"/>
    <w:link w:val="8"/>
    <w:semiHidden/>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5">
    <w:name w:val="标题 8 字符"/>
    <w:basedOn w:val="16"/>
    <w:link w:val="9"/>
    <w:semiHidden/>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6">
    <w:name w:val="标题 9 字符"/>
    <w:basedOn w:val="16"/>
    <w:link w:val="10"/>
    <w:semiHidden/>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7">
    <w:name w:val="标题 字符"/>
    <w:basedOn w:val="16"/>
    <w:link w:val="13"/>
    <w:uiPriority w:val="10"/>
    <w:rPr>
      <w:rFonts w:asciiTheme="majorHAnsi" w:hAnsiTheme="majorHAnsi" w:eastAsiaTheme="majorEastAsia" w:cstheme="majorBidi"/>
      <w:spacing w:val="-10"/>
      <w:kern w:val="28"/>
      <w:sz w:val="56"/>
      <w:szCs w:val="56"/>
    </w:rPr>
  </w:style>
  <w:style w:type="character" w:customStyle="1" w:styleId="28">
    <w:name w:val="副标题 字符"/>
    <w:basedOn w:val="16"/>
    <w:link w:val="11"/>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9">
    <w:name w:val="Quote"/>
    <w:basedOn w:val="1"/>
    <w:next w:val="1"/>
    <w:link w:val="30"/>
    <w:qFormat/>
    <w:uiPriority w:val="29"/>
    <w:pPr>
      <w:spacing w:before="160" w:after="160"/>
      <w:jc w:val="center"/>
    </w:pPr>
    <w:rPr>
      <w:i/>
      <w:iCs/>
      <w:color w:val="404040" w:themeColor="text1" w:themeTint="BF"/>
      <w14:textFill>
        <w14:solidFill>
          <w14:schemeClr w14:val="tx1">
            <w14:lumMod w14:val="75000"/>
            <w14:lumOff w14:val="25000"/>
          </w14:schemeClr>
        </w14:solidFill>
      </w14:textFill>
      <w14:ligatures w14:val="standardContextual"/>
    </w:rPr>
  </w:style>
  <w:style w:type="character" w:customStyle="1" w:styleId="30">
    <w:name w:val="引用 字符"/>
    <w:basedOn w:val="16"/>
    <w:link w:val="29"/>
    <w:uiPriority w:val="29"/>
    <w:rPr>
      <w:i/>
      <w:iCs/>
      <w:color w:val="404040" w:themeColor="text1" w:themeTint="BF"/>
      <w14:textFill>
        <w14:solidFill>
          <w14:schemeClr w14:val="tx1">
            <w14:lumMod w14:val="75000"/>
            <w14:lumOff w14:val="25000"/>
          </w14:schemeClr>
        </w14:solidFill>
      </w14:textFill>
    </w:rPr>
  </w:style>
  <w:style w:type="paragraph" w:styleId="31">
    <w:name w:val="List Paragraph"/>
    <w:basedOn w:val="1"/>
    <w:qFormat/>
    <w:uiPriority w:val="34"/>
    <w:pPr>
      <w:ind w:left="720"/>
      <w:contextualSpacing/>
    </w:pPr>
    <w:rPr>
      <w14:ligatures w14:val="standardContextual"/>
    </w:rPr>
  </w:style>
  <w:style w:type="character" w:customStyle="1" w:styleId="32">
    <w:name w:val="Intense Emphasis"/>
    <w:basedOn w:val="16"/>
    <w:qFormat/>
    <w:uiPriority w:val="21"/>
    <w:rPr>
      <w:i/>
      <w:iCs/>
      <w:color w:val="2F5597" w:themeColor="accent1" w:themeShade="BF"/>
    </w:rPr>
  </w:style>
  <w:style w:type="paragraph" w:styleId="33">
    <w:name w:val="Intense Quote"/>
    <w:basedOn w:val="1"/>
    <w:next w:val="1"/>
    <w:link w:val="34"/>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14:ligatures w14:val="standardContextual"/>
    </w:rPr>
  </w:style>
  <w:style w:type="character" w:customStyle="1" w:styleId="34">
    <w:name w:val="明显引用 字符"/>
    <w:basedOn w:val="16"/>
    <w:link w:val="33"/>
    <w:uiPriority w:val="30"/>
    <w:rPr>
      <w:i/>
      <w:iCs/>
      <w:color w:val="2F5597" w:themeColor="accent1" w:themeShade="BF"/>
    </w:rPr>
  </w:style>
  <w:style w:type="character" w:customStyle="1" w:styleId="35">
    <w:name w:val="Intense Reference"/>
    <w:basedOn w:val="16"/>
    <w:qFormat/>
    <w:uiPriority w:val="32"/>
    <w:rPr>
      <w:b/>
      <w:bCs/>
      <w:smallCaps/>
      <w:color w:val="2F5597" w:themeColor="accent1" w:themeShade="BF"/>
      <w:spacing w:val="5"/>
    </w:rPr>
  </w:style>
  <w:style w:type="character" w:customStyle="1" w:styleId="36">
    <w:name w:val="脚注文本 字符"/>
    <w:basedOn w:val="16"/>
    <w:link w:val="12"/>
    <w:qFormat/>
    <w:uiPriority w:val="0"/>
    <w:rPr>
      <w:rFonts w:ascii="Times New Roman" w:hAnsi="Times New Roman" w:eastAsia="宋体" w:cs="Times New Roman"/>
      <w:sz w:val="18"/>
      <w:szCs w:val="18"/>
      <w14:ligatures w14: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68</Words>
  <Characters>388</Characters>
  <Lines>3</Lines>
  <Paragraphs>1</Paragraphs>
  <TotalTime>0</TotalTime>
  <ScaleCrop>false</ScaleCrop>
  <LinksUpToDate>false</LinksUpToDate>
  <CharactersWithSpaces>455</CharactersWithSpaces>
  <Application>WPS Office_6.14.0.8924_F1E327BC-269C-435d-A152-05C5408002CA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2025-07-26T09:12:00Z</dcterms:created>
  <dc:creator>陈杨泽宇</dc:creator>
  <cp:lastModifiedBy>小明</cp:lastModifiedBy>
  <dcterms:modified xsi:type="dcterms:W3CDTF">2025-07-28T14:57:16Z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2052-6.14.0.8924</vt:lpwstr>
  </property>
  <property fmtid="{D5CDD505-2E9C-101B-9397-08002B2CF9AE}" pid="3" name="ICV">
    <vt:lpwstr>177511FE149EED6F7B508368BDFDF195_42</vt:lpwstr>
  </property>
</Properties>
</file>